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E57" w:rsidRDefault="00884E57" w:rsidP="00067BE4">
      <w:pPr>
        <w:pStyle w:val="Titre1"/>
        <w:jc w:val="center"/>
      </w:pPr>
      <w:r>
        <w:t>Terre de diatomées</w:t>
      </w:r>
      <w:r w:rsidR="00067BE4">
        <w:t> : fiche technique</w:t>
      </w:r>
    </w:p>
    <w:p w:rsidR="008D3A6B" w:rsidRPr="008D3A6B" w:rsidRDefault="008D3A6B" w:rsidP="008D3A6B"/>
    <w:p w:rsidR="002F243D" w:rsidRDefault="00E40353" w:rsidP="002F243D">
      <w:pPr>
        <w:jc w:val="center"/>
        <w:rPr>
          <w:i/>
        </w:rPr>
      </w:pPr>
      <w:r w:rsidRPr="008D3A6B">
        <w:rPr>
          <w:i/>
        </w:rPr>
        <w:t xml:space="preserve">Une terre fossile pour </w:t>
      </w:r>
      <w:r w:rsidR="008D3A6B" w:rsidRPr="008D3A6B">
        <w:rPr>
          <w:i/>
        </w:rPr>
        <w:t>renforcer les feuilles et les fleurs</w:t>
      </w:r>
    </w:p>
    <w:p w:rsidR="008D3A6B" w:rsidRPr="008D3A6B" w:rsidRDefault="008D3A6B" w:rsidP="002F243D">
      <w:pPr>
        <w:jc w:val="center"/>
        <w:rPr>
          <w:i/>
        </w:rPr>
      </w:pPr>
    </w:p>
    <w:p w:rsidR="00884E57" w:rsidRDefault="008D3A6B" w:rsidP="008D3A6B">
      <w:pPr>
        <w:pStyle w:val="Titre2"/>
      </w:pPr>
      <w:r>
        <w:t>Description</w:t>
      </w:r>
    </w:p>
    <w:p w:rsidR="008D3A6B" w:rsidRDefault="008D3A6B" w:rsidP="008D3A6B">
      <w:r>
        <w:t>La terre de diatomées, extraite de couches sédimentaires fossiles, est une terre blanchâtre grise à grand potentiel fertilisant foliaire et revitalisant floral. Appliquée sur les fleurs elle les renforce pour éviter les avortements floraux (perte des fleurs). Appliquée sur les feuilles elle leu</w:t>
      </w:r>
      <w:r w:rsidR="00C258E8">
        <w:t>r fournit un boost de fertilité conséquent.</w:t>
      </w:r>
    </w:p>
    <w:p w:rsidR="00C258E8" w:rsidRDefault="00C258E8" w:rsidP="008D3A6B"/>
    <w:p w:rsidR="00C258E8" w:rsidRDefault="00C258E8" w:rsidP="00C258E8">
      <w:pPr>
        <w:pStyle w:val="Titre2"/>
      </w:pPr>
      <w:r>
        <w:t>Acquisition</w:t>
      </w:r>
    </w:p>
    <w:p w:rsidR="00C258E8" w:rsidRDefault="00C258E8" w:rsidP="008D3A6B">
      <w:r>
        <w:t>Le produit s’achète dans des boutiques spécialisées en agriculture. On n’en trouve naturellement qu’en Californie et quelques autres régions du monde.</w:t>
      </w:r>
    </w:p>
    <w:p w:rsidR="00C258E8" w:rsidRPr="008D3A6B" w:rsidRDefault="00C258E8" w:rsidP="008D3A6B"/>
    <w:p w:rsidR="00884E57" w:rsidRDefault="00884E57" w:rsidP="00884E57">
      <w:pPr>
        <w:pStyle w:val="Titre2"/>
      </w:pPr>
      <w:r>
        <w:t>Application</w:t>
      </w:r>
    </w:p>
    <w:p w:rsidR="00C258E8" w:rsidRPr="00C258E8" w:rsidRDefault="00C258E8" w:rsidP="00C258E8">
      <w:r>
        <w:t>Pour des spéculations dont la floraison est importante comme les aubergines, poivrons, tomates, piments, etc.</w:t>
      </w:r>
    </w:p>
    <w:p w:rsidR="00C258E8" w:rsidRDefault="00C258E8" w:rsidP="00C258E8">
      <w:pPr>
        <w:pStyle w:val="Paragraphedeliste"/>
        <w:numPr>
          <w:ilvl w:val="0"/>
          <w:numId w:val="2"/>
        </w:numPr>
      </w:pPr>
      <w:r>
        <w:t>Si une culture a du mal à fleurir à cause de conditions qui endommagent les fleurs, on peut la pulvériser à plusieurs moments. Dans</w:t>
      </w:r>
      <w:r>
        <w:t xml:space="preserve"> 16L d’eau, verser 3 cuillères à soupe de la poudre (environ 60g). La solution obtenue est pulvérisée sur 100m</w:t>
      </w:r>
      <w:r w:rsidRPr="00C258E8">
        <w:rPr>
          <w:vertAlign w:val="superscript"/>
        </w:rPr>
        <w:t>2</w:t>
      </w:r>
      <w:r>
        <w:t>. Une première application est faite quand les plantules montent. Une deuxième application à la floraison. Une troisième après la première récolte pour relancer la floraison.</w:t>
      </w:r>
    </w:p>
    <w:p w:rsidR="00884E57" w:rsidRDefault="00C258E8" w:rsidP="001126FA">
      <w:pPr>
        <w:pStyle w:val="Paragraphedeliste"/>
        <w:numPr>
          <w:ilvl w:val="0"/>
          <w:numId w:val="2"/>
        </w:numPr>
      </w:pPr>
      <w:r>
        <w:t>Pour fertiliser et renforcer les feuilles, diluer 120g pour 200L d’eau dans un fût d’arrosage</w:t>
      </w:r>
      <w:r w:rsidR="001126FA">
        <w:t>. On peut alors arroser avec la solution créée.</w:t>
      </w:r>
    </w:p>
    <w:p w:rsidR="00884E57" w:rsidRDefault="00884E57" w:rsidP="00884E57"/>
    <w:p w:rsidR="00884E57" w:rsidRDefault="001126FA" w:rsidP="00884E57">
      <w:pPr>
        <w:pStyle w:val="Titre2"/>
      </w:pPr>
      <w:r>
        <w:t>Avantage</w:t>
      </w:r>
      <w:r w:rsidR="008F4E37">
        <w:t>s</w:t>
      </w:r>
    </w:p>
    <w:p w:rsidR="00884E57" w:rsidRDefault="001126FA" w:rsidP="001126FA">
      <w:pPr>
        <w:pStyle w:val="Paragraphedeliste"/>
        <w:numPr>
          <w:ilvl w:val="0"/>
          <w:numId w:val="3"/>
        </w:numPr>
      </w:pPr>
      <w:r>
        <w:t>C’est un engrais à plusieurs usages.</w:t>
      </w:r>
      <w:r w:rsidR="008F4E37">
        <w:t xml:space="preserve"> Appliqué sec, en poudre, il peut aussi servir d’insecticide.</w:t>
      </w:r>
    </w:p>
    <w:p w:rsidR="001126FA" w:rsidRDefault="001126FA" w:rsidP="001126FA">
      <w:pPr>
        <w:pStyle w:val="Paragraphedeliste"/>
        <w:numPr>
          <w:ilvl w:val="0"/>
          <w:numId w:val="3"/>
        </w:numPr>
      </w:pPr>
      <w:r>
        <w:t>Le produit est naturel et accepté en Agriculture Biologique</w:t>
      </w:r>
    </w:p>
    <w:p w:rsidR="001126FA" w:rsidRDefault="001126FA" w:rsidP="008F4E37"/>
    <w:p w:rsidR="008F4E37" w:rsidRDefault="008F4E37" w:rsidP="008F4E37">
      <w:pPr>
        <w:pStyle w:val="Titre2"/>
      </w:pPr>
      <w:r>
        <w:t>Désavantages</w:t>
      </w:r>
    </w:p>
    <w:p w:rsidR="008F4E37" w:rsidRDefault="008F4E37" w:rsidP="008F4E37">
      <w:pPr>
        <w:pStyle w:val="Paragraphedeliste"/>
        <w:numPr>
          <w:ilvl w:val="0"/>
          <w:numId w:val="5"/>
        </w:numPr>
      </w:pPr>
      <w:r>
        <w:t>C’est impossible de le créer soi-même. Il y a donc une dépendance économique.</w:t>
      </w:r>
    </w:p>
    <w:p w:rsidR="00F85430" w:rsidRPr="008F4E37" w:rsidRDefault="00F85430" w:rsidP="00F854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1242271</wp:posOffset>
            </wp:positionH>
            <wp:positionV relativeFrom="paragraph">
              <wp:posOffset>115781</wp:posOffset>
            </wp:positionV>
            <wp:extent cx="3043199" cy="2379133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re de diatomée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054" cy="237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430" w:rsidRPr="008F4E37" w:rsidSect="00646F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BAB"/>
    <w:multiLevelType w:val="hybridMultilevel"/>
    <w:tmpl w:val="61988A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0001"/>
    <w:multiLevelType w:val="hybridMultilevel"/>
    <w:tmpl w:val="DB62C65C"/>
    <w:lvl w:ilvl="0" w:tplc="2EFA7F5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B24F8"/>
    <w:multiLevelType w:val="hybridMultilevel"/>
    <w:tmpl w:val="F90AB8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443A"/>
    <w:multiLevelType w:val="hybridMultilevel"/>
    <w:tmpl w:val="1F3CB760"/>
    <w:lvl w:ilvl="0" w:tplc="193206E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747B"/>
    <w:multiLevelType w:val="hybridMultilevel"/>
    <w:tmpl w:val="0BD428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57"/>
    <w:rsid w:val="00067BE4"/>
    <w:rsid w:val="001126FA"/>
    <w:rsid w:val="002F243D"/>
    <w:rsid w:val="00646F2C"/>
    <w:rsid w:val="00884E57"/>
    <w:rsid w:val="008D3A6B"/>
    <w:rsid w:val="008F4E37"/>
    <w:rsid w:val="00C258E8"/>
    <w:rsid w:val="00DD4E03"/>
    <w:rsid w:val="00E40353"/>
    <w:rsid w:val="00F14CC8"/>
    <w:rsid w:val="00F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8BDD"/>
  <w15:chartTrackingRefBased/>
  <w15:docId w15:val="{6173CE67-B062-5B4C-A17B-96235C8F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4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4E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E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84E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8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5</cp:revision>
  <dcterms:created xsi:type="dcterms:W3CDTF">2022-04-27T20:14:00Z</dcterms:created>
  <dcterms:modified xsi:type="dcterms:W3CDTF">2022-04-30T13:37:00Z</dcterms:modified>
</cp:coreProperties>
</file>